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kaghdvonzb0" w:id="0"/>
      <w:bookmarkEnd w:id="0"/>
      <w:r w:rsidDel="00000000" w:rsidR="00000000" w:rsidRPr="00000000">
        <w:rPr>
          <w:rtl w:val="0"/>
        </w:rPr>
        <w:t xml:space="preserve">Voorbeeld Collegebeslissing deelname Green Deal</w:t>
      </w:r>
    </w:p>
    <w:p w:rsidR="00000000" w:rsidDel="00000000" w:rsidP="00000000" w:rsidRDefault="00000000" w:rsidRPr="00000000" w14:paraId="00000002">
      <w:pPr>
        <w:pStyle w:val="Heading2"/>
        <w:rPr/>
      </w:pPr>
      <w:bookmarkStart w:colFirst="0" w:colLast="0" w:name="_fmib4dcfxkqd" w:id="1"/>
      <w:bookmarkEnd w:id="1"/>
      <w:r w:rsidDel="00000000" w:rsidR="00000000" w:rsidRPr="00000000">
        <w:rPr>
          <w:rtl w:val="0"/>
        </w:rPr>
        <w:t xml:space="preserve">Beknopte samenvatting</w:t>
      </w:r>
    </w:p>
    <w:p w:rsidR="00000000" w:rsidDel="00000000" w:rsidP="00000000" w:rsidRDefault="00000000" w:rsidRPr="00000000" w14:paraId="00000003">
      <w:pPr>
        <w:rPr/>
      </w:pPr>
      <w:r w:rsidDel="00000000" w:rsidR="00000000" w:rsidRPr="00000000">
        <w:rPr>
          <w:highlight w:val="yellow"/>
          <w:rtl w:val="0"/>
        </w:rPr>
        <w:t xml:space="preserve">Stad/gemeente x </w:t>
      </w:r>
      <w:r w:rsidDel="00000000" w:rsidR="00000000" w:rsidRPr="00000000">
        <w:rPr>
          <w:rtl w:val="0"/>
        </w:rPr>
        <w:t xml:space="preserve">kreeg de uitnodiging om mee de nieuwe “Green Deal Deelmobiliteit en Wonen” te ondertekenen. Dat is een vrijwillige overeenkomst  tussen de Vlaamse overheid en verschillende publieke en private actoren (zoals lokale overheden, intercommunales, projectontwikkelaars, studiebureaus en aanbieders van gedeelde mobiliteit). De overkoepelende doelstelling is om van de integratie van deelmobiliteit in (nieuwe) woonomgevingen een evidentie te maken tegen 2027.  Om deze doelstelling te bereiken, wordt ingezet op het inventariseren en wegwerken van knelpunten, op kennisdeling en op het nemen van concrete acties door ondertekenaars van de Green Deal. De looptijd van de engagementsverklaring is 3 jaar (2024 -2026).</w:t>
      </w:r>
    </w:p>
    <w:p w:rsidR="00000000" w:rsidDel="00000000" w:rsidP="00000000" w:rsidRDefault="00000000" w:rsidRPr="00000000" w14:paraId="00000004">
      <w:pPr>
        <w:pStyle w:val="Heading2"/>
        <w:rPr/>
      </w:pPr>
      <w:bookmarkStart w:colFirst="0" w:colLast="0" w:name="_ei6xu2hgog8d" w:id="2"/>
      <w:bookmarkEnd w:id="2"/>
      <w:r w:rsidDel="00000000" w:rsidR="00000000" w:rsidRPr="00000000">
        <w:rPr>
          <w:rtl w:val="0"/>
        </w:rPr>
        <w:t xml:space="preserve">Aanleiding en context</w:t>
      </w:r>
    </w:p>
    <w:p w:rsidR="00000000" w:rsidDel="00000000" w:rsidP="00000000" w:rsidRDefault="00000000" w:rsidRPr="00000000" w14:paraId="00000005">
      <w:pPr>
        <w:rPr/>
      </w:pPr>
      <w:r w:rsidDel="00000000" w:rsidR="00000000" w:rsidRPr="00000000">
        <w:rPr>
          <w:rtl w:val="0"/>
        </w:rPr>
        <w:t xml:space="preserve">Autodelen.net, BVS, Netwerk Duurzame Mobiliteit en de VVSG lanceren met de steun van Vlaanderen (Departement Omgeving) in 2024 de Green Deal ‘Deelmobiliteit en Wonen’. </w:t>
      </w:r>
      <w:r w:rsidDel="00000000" w:rsidR="00000000" w:rsidRPr="00000000">
        <w:rPr>
          <w:rtl w:val="0"/>
        </w:rPr>
        <w:t xml:space="preserve">Met deze Green Deal willen ze de integratie van deelmobiliteit in de woonomgeving een evidentie maken tegen 2027. Drie jaar lang zal er met een vrijwillige overeenkomst tussen de Vlaamse overheid en een breed spectrum van partners (lokale besturen, projectontwikkelaars, mobiliteitsorganisaties, aanbieders van deelmobiliteit, syndici en anderen) worden samengewerkt met dat doel voor ogen. </w:t>
      </w:r>
    </w:p>
    <w:p w:rsidR="00000000" w:rsidDel="00000000" w:rsidP="00000000" w:rsidRDefault="00000000" w:rsidRPr="00000000" w14:paraId="00000006">
      <w:pPr>
        <w:rPr/>
      </w:pPr>
      <w:r w:rsidDel="00000000" w:rsidR="00000000" w:rsidRPr="00000000">
        <w:rPr>
          <w:rtl w:val="0"/>
        </w:rPr>
        <w:t xml:space="preserve">Green Deals zijn een instrument en initiatief van de Vlaamse overheid om ondernemingen en sectoren te vergroenen ​​met projecten rond water, voedsel, circulaire economie, enzovoort. Het gaat om vrijwillige, ambitieuze, </w:t>
      </w:r>
      <w:r w:rsidDel="00000000" w:rsidR="00000000" w:rsidRPr="00000000">
        <w:rPr>
          <w:rtl w:val="0"/>
        </w:rPr>
        <w:t xml:space="preserve">innovatieve groene samenwerkingsprojecten </w:t>
      </w:r>
      <w:r w:rsidDel="00000000" w:rsidR="00000000" w:rsidRPr="00000000">
        <w:rPr>
          <w:rtl w:val="0"/>
        </w:rPr>
        <w:t xml:space="preserve">tussen bedrijven, organisaties en de overheid om samen op korte termijn (zo’n drie à vier jaar) duurzame acties te realiseren. De Vlaamse overheid neemt daarbij </w:t>
      </w:r>
      <w:r w:rsidDel="00000000" w:rsidR="00000000" w:rsidRPr="00000000">
        <w:rPr>
          <w:rtl w:val="0"/>
        </w:rPr>
        <w:t xml:space="preserve">een faciliterende, ondersteunende (niet-financiële) rol en engageert zich daarbij om  </w:t>
      </w:r>
      <w:r w:rsidDel="00000000" w:rsidR="00000000" w:rsidRPr="00000000">
        <w:rPr>
          <w:rtl w:val="0"/>
        </w:rPr>
        <w:t xml:space="preserve">belemmeringen binnen o.a. wet- en regelgeving, financiering en  draagvlak weg te werken. </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color w:val="262626"/>
          <w:sz w:val="27"/>
          <w:szCs w:val="27"/>
        </w:rPr>
      </w:pPr>
      <w:r w:rsidDel="00000000" w:rsidR="00000000" w:rsidRPr="00000000">
        <w:rPr>
          <w:rtl w:val="0"/>
        </w:rPr>
        <w:t xml:space="preserve">De voorliggende Green Deal spitst zich toe op de integratie van deelmobiliteit in de woonomgeving.  Het inzetten op deelmobiliteit in de woonomgeving, draagt op verschillende vlakken maatschappelijk bij: </w:t>
      </w:r>
      <w:r w:rsidDel="00000000" w:rsidR="00000000" w:rsidRPr="00000000">
        <w:rPr>
          <w:rtl w:val="0"/>
        </w:rPr>
      </w:r>
    </w:p>
    <w:p w:rsidR="00000000" w:rsidDel="00000000" w:rsidP="00000000" w:rsidRDefault="00000000" w:rsidRPr="00000000" w14:paraId="00000009">
      <w:pPr>
        <w:numPr>
          <w:ilvl w:val="0"/>
          <w:numId w:val="2"/>
        </w:numPr>
        <w:spacing w:after="0" w:afterAutospacing="0" w:before="160" w:lineRule="auto"/>
        <w:ind w:left="720" w:hanging="360"/>
        <w:rPr>
          <w:sz w:val="22"/>
          <w:szCs w:val="22"/>
        </w:rPr>
      </w:pPr>
      <w:r w:rsidDel="00000000" w:rsidR="00000000" w:rsidRPr="00000000">
        <w:rPr>
          <w:b w:val="1"/>
          <w:color w:val="262626"/>
          <w:rtl w:val="0"/>
        </w:rPr>
        <w:t xml:space="preserve">Deelmobiliteit verhoogt de kwaliteit van de woonomgeving</w:t>
      </w:r>
      <w:r w:rsidDel="00000000" w:rsidR="00000000" w:rsidRPr="00000000">
        <w:rPr>
          <w:color w:val="262626"/>
          <w:rtl w:val="0"/>
        </w:rPr>
        <w:t xml:space="preserve">. Een deelwagen vervangt 3 tot 10 privéwagens, en maakt zo plaats voor groen, voor speelruimte en voor mensen. </w:t>
      </w:r>
    </w:p>
    <w:p w:rsidR="00000000" w:rsidDel="00000000" w:rsidP="00000000" w:rsidRDefault="00000000" w:rsidRPr="00000000" w14:paraId="0000000A">
      <w:pPr>
        <w:numPr>
          <w:ilvl w:val="0"/>
          <w:numId w:val="2"/>
        </w:numPr>
        <w:spacing w:after="0" w:afterAutospacing="0" w:before="0" w:beforeAutospacing="0" w:lineRule="auto"/>
        <w:ind w:left="720" w:hanging="360"/>
        <w:rPr>
          <w:sz w:val="22"/>
          <w:szCs w:val="22"/>
        </w:rPr>
      </w:pPr>
      <w:r w:rsidDel="00000000" w:rsidR="00000000" w:rsidRPr="00000000">
        <w:rPr>
          <w:b w:val="1"/>
          <w:color w:val="262626"/>
          <w:rtl w:val="0"/>
        </w:rPr>
        <w:t xml:space="preserve">Deelmobiliteit maakt wonen betaalbaar</w:t>
      </w:r>
      <w:r w:rsidDel="00000000" w:rsidR="00000000" w:rsidRPr="00000000">
        <w:rPr>
          <w:color w:val="262626"/>
          <w:rtl w:val="0"/>
        </w:rPr>
        <w:t xml:space="preserve">: hoe meer deelwagens, hoe minder parkeerplaatsen er nodig zijn. Projectontwikkelaars hoeven minder parkeerplaatsen te bouwen, en bewoners hoeven niet per se een parkeerplaats te kopen. </w:t>
      </w:r>
    </w:p>
    <w:p w:rsidR="00000000" w:rsidDel="00000000" w:rsidP="00000000" w:rsidRDefault="00000000" w:rsidRPr="00000000" w14:paraId="0000000B">
      <w:pPr>
        <w:numPr>
          <w:ilvl w:val="0"/>
          <w:numId w:val="2"/>
        </w:numPr>
        <w:spacing w:after="0" w:afterAutospacing="0" w:before="0" w:beforeAutospacing="0" w:lineRule="auto"/>
        <w:ind w:left="720" w:hanging="360"/>
        <w:rPr>
          <w:sz w:val="22"/>
          <w:szCs w:val="22"/>
        </w:rPr>
      </w:pPr>
      <w:r w:rsidDel="00000000" w:rsidR="00000000" w:rsidRPr="00000000">
        <w:rPr>
          <w:b w:val="1"/>
          <w:color w:val="262626"/>
          <w:rtl w:val="0"/>
        </w:rPr>
        <w:t xml:space="preserve">Deelmobiliteit maakt mobiliteit betaalbaar</w:t>
      </w:r>
      <w:r w:rsidDel="00000000" w:rsidR="00000000" w:rsidRPr="00000000">
        <w:rPr>
          <w:color w:val="262626"/>
          <w:rtl w:val="0"/>
        </w:rPr>
        <w:t xml:space="preserve">: een deelauto gebruiken is goedkoper dan een eigen auto bezitten.  </w:t>
      </w:r>
    </w:p>
    <w:p w:rsidR="00000000" w:rsidDel="00000000" w:rsidP="00000000" w:rsidRDefault="00000000" w:rsidRPr="00000000" w14:paraId="0000000C">
      <w:pPr>
        <w:numPr>
          <w:ilvl w:val="0"/>
          <w:numId w:val="2"/>
        </w:numPr>
        <w:spacing w:after="380" w:before="0" w:beforeAutospacing="0" w:lineRule="auto"/>
        <w:ind w:left="720" w:hanging="360"/>
        <w:rPr>
          <w:sz w:val="22"/>
          <w:szCs w:val="22"/>
        </w:rPr>
      </w:pPr>
      <w:r w:rsidDel="00000000" w:rsidR="00000000" w:rsidRPr="00000000">
        <w:rPr>
          <w:b w:val="1"/>
          <w:color w:val="262626"/>
          <w:rtl w:val="0"/>
        </w:rPr>
        <w:t xml:space="preserve">Deelmobiliteit is klimaat- en milieuvriendelijk</w:t>
      </w:r>
      <w:r w:rsidDel="00000000" w:rsidR="00000000" w:rsidRPr="00000000">
        <w:rPr>
          <w:color w:val="262626"/>
          <w:rtl w:val="0"/>
        </w:rPr>
        <w:t xml:space="preserve">: autodelers doen minder autokilometers met een positief </w:t>
      </w:r>
      <w:r w:rsidDel="00000000" w:rsidR="00000000" w:rsidRPr="00000000">
        <w:rPr>
          <w:rtl w:val="0"/>
        </w:rPr>
        <w:t xml:space="preserve">effect op </w:t>
      </w:r>
      <w:r w:rsidDel="00000000" w:rsidR="00000000" w:rsidRPr="00000000">
        <w:rPr>
          <w:rtl w:val="0"/>
        </w:rPr>
        <w:t xml:space="preserve">CO2-uitstoot en luchtkwaliteit. En doordat er minder auto’s moeten worden geproduceerd is er ook nog eens winst tijdens de productiefase. </w:t>
      </w:r>
    </w:p>
    <w:p w:rsidR="00000000" w:rsidDel="00000000" w:rsidP="00000000" w:rsidRDefault="00000000" w:rsidRPr="00000000" w14:paraId="0000000D">
      <w:pPr>
        <w:spacing w:after="380" w:before="160" w:lineRule="auto"/>
        <w:ind w:left="0" w:firstLine="0"/>
        <w:rPr/>
      </w:pPr>
      <w:r w:rsidDel="00000000" w:rsidR="00000000" w:rsidRPr="00000000">
        <w:rPr>
          <w:rtl w:val="0"/>
        </w:rPr>
        <w:t xml:space="preserve">Binnen de Green Deal ‘Deelmobiliteit en Wonen’ worden er 6 hoofddoelen geformuleerd:</w:t>
      </w:r>
    </w:p>
    <w:p w:rsidR="00000000" w:rsidDel="00000000" w:rsidP="00000000" w:rsidRDefault="00000000" w:rsidRPr="00000000" w14:paraId="0000000E">
      <w:pPr>
        <w:numPr>
          <w:ilvl w:val="0"/>
          <w:numId w:val="3"/>
        </w:numPr>
        <w:ind w:left="720" w:hanging="360"/>
      </w:pPr>
      <w:r w:rsidDel="00000000" w:rsidR="00000000" w:rsidRPr="00000000">
        <w:rPr>
          <w:rtl w:val="0"/>
        </w:rPr>
        <w:t xml:space="preserve">Het faciliteren v</w:t>
      </w:r>
      <w:r w:rsidDel="00000000" w:rsidR="00000000" w:rsidRPr="00000000">
        <w:rPr>
          <w:b w:val="1"/>
          <w:rtl w:val="0"/>
        </w:rPr>
        <w:t xml:space="preserve">an kennisuitwisseling en - opbouw</w:t>
      </w:r>
      <w:r w:rsidDel="00000000" w:rsidR="00000000" w:rsidRPr="00000000">
        <w:rPr>
          <w:rtl w:val="0"/>
        </w:rPr>
        <w:t xml:space="preserve"> tussen diverse stakeholders.</w:t>
      </w:r>
    </w:p>
    <w:p w:rsidR="00000000" w:rsidDel="00000000" w:rsidP="00000000" w:rsidRDefault="00000000" w:rsidRPr="00000000" w14:paraId="0000000F">
      <w:pPr>
        <w:numPr>
          <w:ilvl w:val="0"/>
          <w:numId w:val="3"/>
        </w:numPr>
        <w:ind w:left="720" w:hanging="360"/>
      </w:pPr>
      <w:r w:rsidDel="00000000" w:rsidR="00000000" w:rsidRPr="00000000">
        <w:rPr>
          <w:rtl w:val="0"/>
        </w:rPr>
        <w:t xml:space="preserve">De </w:t>
      </w:r>
      <w:r w:rsidDel="00000000" w:rsidR="00000000" w:rsidRPr="00000000">
        <w:rPr>
          <w:b w:val="1"/>
          <w:rtl w:val="0"/>
        </w:rPr>
        <w:t xml:space="preserve">toegankelijkheid tot gedeelde mobiliteit</w:t>
      </w:r>
      <w:r w:rsidDel="00000000" w:rsidR="00000000" w:rsidRPr="00000000">
        <w:rPr>
          <w:rtl w:val="0"/>
        </w:rPr>
        <w:t xml:space="preserve"> verhogen in bestaande woonomgevingen en nieuwbouwprojecten in Vlaanderen.</w:t>
      </w:r>
    </w:p>
    <w:p w:rsidR="00000000" w:rsidDel="00000000" w:rsidP="00000000" w:rsidRDefault="00000000" w:rsidRPr="00000000" w14:paraId="00000010">
      <w:pPr>
        <w:numPr>
          <w:ilvl w:val="0"/>
          <w:numId w:val="3"/>
        </w:numPr>
        <w:ind w:left="720" w:hanging="360"/>
      </w:pPr>
      <w:r w:rsidDel="00000000" w:rsidR="00000000" w:rsidRPr="00000000">
        <w:rPr>
          <w:rtl w:val="0"/>
        </w:rPr>
        <w:t xml:space="preserve">Het in</w:t>
      </w:r>
      <w:r w:rsidDel="00000000" w:rsidR="00000000" w:rsidRPr="00000000">
        <w:rPr>
          <w:b w:val="1"/>
          <w:rtl w:val="0"/>
        </w:rPr>
        <w:t xml:space="preserve"> kaart brengen en aanpakken van juridische en praktische obstakels</w:t>
      </w:r>
      <w:r w:rsidDel="00000000" w:rsidR="00000000" w:rsidRPr="00000000">
        <w:rPr>
          <w:rtl w:val="0"/>
        </w:rPr>
        <w:t xml:space="preserve"> die een succesvolle integratie van gedeelde mobiliteit in woonomgevingen bemoeilijken.</w:t>
      </w:r>
    </w:p>
    <w:p w:rsidR="00000000" w:rsidDel="00000000" w:rsidP="00000000" w:rsidRDefault="00000000" w:rsidRPr="00000000" w14:paraId="00000011">
      <w:pPr>
        <w:numPr>
          <w:ilvl w:val="0"/>
          <w:numId w:val="3"/>
        </w:numPr>
        <w:ind w:left="720" w:hanging="360"/>
      </w:pPr>
      <w:r w:rsidDel="00000000" w:rsidR="00000000" w:rsidRPr="00000000">
        <w:rPr>
          <w:rtl w:val="0"/>
        </w:rPr>
        <w:t xml:space="preserve">Het </w:t>
      </w:r>
      <w:r w:rsidDel="00000000" w:rsidR="00000000" w:rsidRPr="00000000">
        <w:rPr>
          <w:b w:val="1"/>
          <w:rtl w:val="0"/>
        </w:rPr>
        <w:t xml:space="preserve">aantal (actieve) gebruikers van gedeelde mobiliteit</w:t>
      </w:r>
      <w:r w:rsidDel="00000000" w:rsidR="00000000" w:rsidRPr="00000000">
        <w:rPr>
          <w:rtl w:val="0"/>
        </w:rPr>
        <w:t xml:space="preserve"> in Vlaanderen verhogen.</w:t>
      </w:r>
    </w:p>
    <w:p w:rsidR="00000000" w:rsidDel="00000000" w:rsidP="00000000" w:rsidRDefault="00000000" w:rsidRPr="00000000" w14:paraId="00000012">
      <w:pPr>
        <w:numPr>
          <w:ilvl w:val="0"/>
          <w:numId w:val="3"/>
        </w:numPr>
        <w:ind w:left="720" w:hanging="360"/>
      </w:pPr>
      <w:r w:rsidDel="00000000" w:rsidR="00000000" w:rsidRPr="00000000">
        <w:rPr>
          <w:rtl w:val="0"/>
        </w:rPr>
        <w:t xml:space="preserve">Het </w:t>
      </w:r>
      <w:r w:rsidDel="00000000" w:rsidR="00000000" w:rsidRPr="00000000">
        <w:rPr>
          <w:b w:val="1"/>
          <w:rtl w:val="0"/>
        </w:rPr>
        <w:t xml:space="preserve">verhogen van de bekendheid </w:t>
      </w:r>
      <w:r w:rsidDel="00000000" w:rsidR="00000000" w:rsidRPr="00000000">
        <w:rPr>
          <w:rtl w:val="0"/>
        </w:rPr>
        <w:t xml:space="preserve">van het concept gedeelde mobiliteit in Vlaanderen.</w:t>
      </w:r>
    </w:p>
    <w:p w:rsidR="00000000" w:rsidDel="00000000" w:rsidP="00000000" w:rsidRDefault="00000000" w:rsidRPr="00000000" w14:paraId="00000013">
      <w:pPr>
        <w:numPr>
          <w:ilvl w:val="0"/>
          <w:numId w:val="3"/>
        </w:numPr>
        <w:ind w:left="720" w:hanging="360"/>
      </w:pPr>
      <w:r w:rsidDel="00000000" w:rsidR="00000000" w:rsidRPr="00000000">
        <w:rPr>
          <w:rtl w:val="0"/>
        </w:rPr>
        <w:t xml:space="preserve">Het </w:t>
      </w:r>
      <w:r w:rsidDel="00000000" w:rsidR="00000000" w:rsidRPr="00000000">
        <w:rPr>
          <w:b w:val="1"/>
          <w:rtl w:val="0"/>
        </w:rPr>
        <w:t xml:space="preserve">verhogen van het aanbod</w:t>
      </w:r>
      <w:r w:rsidDel="00000000" w:rsidR="00000000" w:rsidRPr="00000000">
        <w:rPr>
          <w:rtl w:val="0"/>
        </w:rPr>
        <w:t xml:space="preserve"> van (elektrische) deelmobiliteit verhogen in bestaande woonomgevingen en nieuwbouwprojecten in Vlaanderen.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Als ondertekenaar van de Green Deal neem je enkele engagementen: </w:t>
      </w:r>
    </w:p>
    <w:p w:rsidR="00000000" w:rsidDel="00000000" w:rsidP="00000000" w:rsidRDefault="00000000" w:rsidRPr="00000000" w14:paraId="00000016">
      <w:pPr>
        <w:numPr>
          <w:ilvl w:val="0"/>
          <w:numId w:val="4"/>
        </w:numPr>
        <w:ind w:left="720" w:hanging="360"/>
      </w:pPr>
      <w:r w:rsidDel="00000000" w:rsidR="00000000" w:rsidRPr="00000000">
        <w:rPr>
          <w:rtl w:val="0"/>
        </w:rPr>
        <w:t xml:space="preserve">Je staat open voor samenwerking en uitwisseling van kennis en ervaringen rond gedeelde mobiliteit. Dit gebeurt onder meer op terugkommomenten, Green Deal Academies en focusgroepen. </w:t>
      </w:r>
    </w:p>
    <w:p w:rsidR="00000000" w:rsidDel="00000000" w:rsidP="00000000" w:rsidRDefault="00000000" w:rsidRPr="00000000" w14:paraId="00000017">
      <w:pPr>
        <w:numPr>
          <w:ilvl w:val="0"/>
          <w:numId w:val="4"/>
        </w:numPr>
        <w:ind w:left="720" w:hanging="360"/>
      </w:pPr>
      <w:r w:rsidDel="00000000" w:rsidR="00000000" w:rsidRPr="00000000">
        <w:rPr>
          <w:rtl w:val="0"/>
        </w:rPr>
        <w:t xml:space="preserve">Je neemt deel aan minstens één terugkommoment per jaar.</w:t>
      </w:r>
    </w:p>
    <w:p w:rsidR="00000000" w:rsidDel="00000000" w:rsidP="00000000" w:rsidRDefault="00000000" w:rsidRPr="00000000" w14:paraId="00000018">
      <w:pPr>
        <w:numPr>
          <w:ilvl w:val="0"/>
          <w:numId w:val="4"/>
        </w:numPr>
        <w:ind w:left="720" w:hanging="360"/>
      </w:pPr>
      <w:r w:rsidDel="00000000" w:rsidR="00000000" w:rsidRPr="00000000">
        <w:rPr>
          <w:rtl w:val="0"/>
        </w:rPr>
        <w:t xml:space="preserve">Je streeft ernaar om minstens 4 acties te ondernemen die bijdragen aan de 6 hoofddoelen zoals hierboven geformuleerd.</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Je acties zijn concreet en meetbaar. Je voert je acties uit tegen ten laatste 31 december 2026.</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Je acties zijn (1) nieuw en/of (2) bestaand mits een extra impuls en/of (3) een stilgevallen initiatief dat je nieuw leven inblaast.</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Je deelt minstens één keer per jaar info over de voortgang van jouw acties.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rPr/>
      </w:pPr>
      <w:bookmarkStart w:colFirst="0" w:colLast="0" w:name="_8wkyce28bbxx" w:id="3"/>
      <w:bookmarkEnd w:id="3"/>
      <w:r w:rsidDel="00000000" w:rsidR="00000000" w:rsidRPr="00000000">
        <w:rPr>
          <w:rtl w:val="0"/>
        </w:rPr>
        <w:t xml:space="preserve">Argumentatie</w:t>
      </w:r>
    </w:p>
    <w:p w:rsidR="00000000" w:rsidDel="00000000" w:rsidP="00000000" w:rsidRDefault="00000000" w:rsidRPr="00000000" w14:paraId="0000001E">
      <w:pPr>
        <w:rPr>
          <w:color w:val="262626"/>
          <w:sz w:val="27"/>
          <w:szCs w:val="27"/>
        </w:rPr>
      </w:pPr>
      <w:r w:rsidDel="00000000" w:rsidR="00000000" w:rsidRPr="00000000">
        <w:rPr>
          <w:color w:val="262626"/>
          <w:rtl w:val="0"/>
        </w:rPr>
        <w:t xml:space="preserve">Als ondertekenaar zijn er verschillende voordelen verbonden aan de ondertekening van de Green Deal 'Deelmobiliteit en Wonen’: </w:t>
      </w:r>
      <w:r w:rsidDel="00000000" w:rsidR="00000000" w:rsidRPr="00000000">
        <w:rPr>
          <w:rtl w:val="0"/>
        </w:rPr>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De Green Deal biedt de kans om versneld in te zetten op bestaande beleidsdoelstellingen van </w:t>
      </w:r>
      <w:r w:rsidDel="00000000" w:rsidR="00000000" w:rsidRPr="00000000">
        <w:rPr>
          <w:highlight w:val="yellow"/>
          <w:rtl w:val="0"/>
        </w:rPr>
        <w:t xml:space="preserve">Stad/gemeente x, </w:t>
      </w:r>
      <w:r w:rsidDel="00000000" w:rsidR="00000000" w:rsidRPr="00000000">
        <w:rPr>
          <w:highlight w:val="white"/>
          <w:rtl w:val="0"/>
        </w:rPr>
        <w:t xml:space="preserve">zoals de LEKP doelstellingen</w:t>
      </w:r>
      <w:r w:rsidDel="00000000" w:rsidR="00000000" w:rsidRPr="00000000">
        <w:rPr>
          <w:highlight w:val="yellow"/>
          <w:rtl w:val="0"/>
        </w:rPr>
        <w:t xml:space="preserve">/het burgemeesterconvenant/het autodeelactieplan/…</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De Green Deal </w:t>
      </w:r>
      <w:r w:rsidDel="00000000" w:rsidR="00000000" w:rsidRPr="00000000">
        <w:rPr>
          <w:rtl w:val="0"/>
        </w:rPr>
        <w:t xml:space="preserve">ondertekenaars zorgen samen voor een duurzamer en leefbaarder Vlaanderen.</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De Green Deal is de manier bij uitstek om interessante samenwerkingsmogelijkheden aan te gaan en kennis rond de implementatie van deelmobiliteit in de woonomgeving uit te diepen (via onder andere focusgroepen en Green Deal Academies). </w:t>
      </w:r>
    </w:p>
    <w:p w:rsidR="00000000" w:rsidDel="00000000" w:rsidP="00000000" w:rsidRDefault="00000000" w:rsidRPr="00000000" w14:paraId="00000022">
      <w:pPr>
        <w:numPr>
          <w:ilvl w:val="0"/>
          <w:numId w:val="1"/>
        </w:numPr>
        <w:ind w:left="720" w:hanging="360"/>
      </w:pPr>
      <w:r w:rsidDel="00000000" w:rsidR="00000000" w:rsidRPr="00000000">
        <w:rPr>
          <w:rtl w:val="0"/>
        </w:rPr>
        <w:t xml:space="preserve">Ondertekenaars krijgen exposure van de door hen ondernomen acties, onder andere op het officiële ondertekenings- en persmoment en op events die ook openstaan voor externen.</w:t>
      </w:r>
    </w:p>
    <w:p w:rsidR="00000000" w:rsidDel="00000000" w:rsidP="00000000" w:rsidRDefault="00000000" w:rsidRPr="00000000" w14:paraId="00000023">
      <w:pPr>
        <w:numPr>
          <w:ilvl w:val="0"/>
          <w:numId w:val="1"/>
        </w:numPr>
        <w:ind w:left="720" w:hanging="360"/>
      </w:pPr>
      <w:r w:rsidDel="00000000" w:rsidR="00000000" w:rsidRPr="00000000">
        <w:rPr>
          <w:rtl w:val="0"/>
        </w:rPr>
        <w:t xml:space="preserve">Een rechtstreekse lijn met het beleid: ondertekenaars krijgen de kans om drempels in de regelgeving te signaleren en samen met de beleidsmakers aan te pakken. De Vlaamse minister van omgeving, van mobiliteit en openbare werken en van binnenlands bestuur ondertekenen de green deal en engageren zich om juridische en praktische drempels weg te werken.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Binnen de Green Deal kan de </w:t>
      </w:r>
      <w:r w:rsidDel="00000000" w:rsidR="00000000" w:rsidRPr="00000000">
        <w:rPr>
          <w:highlight w:val="yellow"/>
          <w:rtl w:val="0"/>
        </w:rPr>
        <w:t xml:space="preserve">Stad/gemeente x </w:t>
      </w:r>
      <w:r w:rsidDel="00000000" w:rsidR="00000000" w:rsidRPr="00000000">
        <w:rPr>
          <w:rtl w:val="0"/>
        </w:rPr>
        <w:t xml:space="preserve">volgende engagementen opnemen</w:t>
      </w:r>
    </w:p>
    <w:p w:rsidR="00000000" w:rsidDel="00000000" w:rsidP="00000000" w:rsidRDefault="00000000" w:rsidRPr="00000000" w14:paraId="00000026">
      <w:pPr>
        <w:rPr>
          <w:highlight w:val="yellow"/>
        </w:rPr>
      </w:pPr>
      <w:r w:rsidDel="00000000" w:rsidR="00000000" w:rsidRPr="00000000">
        <w:rPr>
          <w:highlight w:val="yellow"/>
          <w:rtl w:val="0"/>
        </w:rPr>
        <w:t xml:space="preserve">[Aanvullen]</w:t>
      </w:r>
    </w:p>
    <w:p w:rsidR="00000000" w:rsidDel="00000000" w:rsidP="00000000" w:rsidRDefault="00000000" w:rsidRPr="00000000" w14:paraId="00000027">
      <w:pPr>
        <w:pStyle w:val="Heading2"/>
        <w:rPr/>
      </w:pPr>
      <w:bookmarkStart w:colFirst="0" w:colLast="0" w:name="_agpqwwcambgl" w:id="4"/>
      <w:bookmarkEnd w:id="4"/>
      <w:r w:rsidDel="00000000" w:rsidR="00000000" w:rsidRPr="00000000">
        <w:rPr>
          <w:rtl w:val="0"/>
        </w:rPr>
        <w:t xml:space="preserve">Besluit</w:t>
      </w:r>
    </w:p>
    <w:p w:rsidR="00000000" w:rsidDel="00000000" w:rsidP="00000000" w:rsidRDefault="00000000" w:rsidRPr="00000000" w14:paraId="00000028">
      <w:pPr>
        <w:rPr/>
      </w:pPr>
      <w:r w:rsidDel="00000000" w:rsidR="00000000" w:rsidRPr="00000000">
        <w:rPr>
          <w:rtl w:val="0"/>
        </w:rPr>
        <w:t xml:space="preserve">Punt 1</w:t>
      </w:r>
    </w:p>
    <w:p w:rsidR="00000000" w:rsidDel="00000000" w:rsidP="00000000" w:rsidRDefault="00000000" w:rsidRPr="00000000" w14:paraId="00000029">
      <w:pPr>
        <w:rPr/>
      </w:pPr>
      <w:r w:rsidDel="00000000" w:rsidR="00000000" w:rsidRPr="00000000">
        <w:rPr>
          <w:highlight w:val="yellow"/>
          <w:rtl w:val="0"/>
        </w:rPr>
        <w:t xml:space="preserve">Stad/gemeente x </w:t>
      </w:r>
      <w:r w:rsidDel="00000000" w:rsidR="00000000" w:rsidRPr="00000000">
        <w:rPr>
          <w:rtl w:val="0"/>
        </w:rPr>
        <w:t xml:space="preserve">ondertekent de convenanttekst "Green Deal ‘Deelmobiliteit en Wonen’"</w:t>
      </w:r>
    </w:p>
    <w:p w:rsidR="00000000" w:rsidDel="00000000" w:rsidP="00000000" w:rsidRDefault="00000000" w:rsidRPr="00000000" w14:paraId="0000002A">
      <w:pPr>
        <w:rPr/>
      </w:pPr>
      <w:r w:rsidDel="00000000" w:rsidR="00000000" w:rsidRPr="00000000">
        <w:rPr>
          <w:rtl w:val="0"/>
        </w:rPr>
        <w:t xml:space="preserve">Punt 2</w:t>
      </w:r>
    </w:p>
    <w:p w:rsidR="00000000" w:rsidDel="00000000" w:rsidP="00000000" w:rsidRDefault="00000000" w:rsidRPr="00000000" w14:paraId="0000002B">
      <w:pPr>
        <w:rPr/>
      </w:pPr>
      <w:r w:rsidDel="00000000" w:rsidR="00000000" w:rsidRPr="00000000">
        <w:rPr>
          <w:rtl w:val="0"/>
        </w:rPr>
        <w:t xml:space="preserve">Binnen de "Green Deal ‘Deelmobiliteit en Wonen’" neemt </w:t>
      </w:r>
      <w:r w:rsidDel="00000000" w:rsidR="00000000" w:rsidRPr="00000000">
        <w:rPr>
          <w:highlight w:val="yellow"/>
          <w:rtl w:val="0"/>
        </w:rPr>
        <w:t xml:space="preserve">stad/gemeente x </w:t>
      </w:r>
      <w:r w:rsidDel="00000000" w:rsidR="00000000" w:rsidRPr="00000000">
        <w:rPr>
          <w:rtl w:val="0"/>
        </w:rPr>
        <w:t xml:space="preserve">volgende engagementen op:</w:t>
      </w:r>
    </w:p>
    <w:p w:rsidR="00000000" w:rsidDel="00000000" w:rsidP="00000000" w:rsidRDefault="00000000" w:rsidRPr="00000000" w14:paraId="0000002C">
      <w:pPr>
        <w:rPr>
          <w:highlight w:val="yellow"/>
        </w:rPr>
      </w:pPr>
      <w:r w:rsidDel="00000000" w:rsidR="00000000" w:rsidRPr="00000000">
        <w:rPr>
          <w:highlight w:val="yellow"/>
          <w:rtl w:val="0"/>
        </w:rPr>
        <w:t xml:space="preserve">[Aanvullen]</w:t>
      </w:r>
    </w:p>
    <w:p w:rsidR="00000000" w:rsidDel="00000000" w:rsidP="00000000" w:rsidRDefault="00000000" w:rsidRPr="00000000" w14:paraId="0000002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rFonts w:ascii="Source Sans Pro" w:cs="Source Sans Pro" w:eastAsia="Source Sans Pro" w:hAnsi="Source Sans Pro"/>
        <w:b w:val="0"/>
        <w:i w:val="0"/>
        <w:smallCaps w:val="0"/>
        <w:strike w:val="0"/>
        <w:color w:val="262626"/>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decimal"/>
      <w:lvlText w:val="%1."/>
      <w:lvlJc w:val="left"/>
      <w:pPr>
        <w:ind w:left="720" w:hanging="360"/>
      </w:pPr>
      <w:rPr>
        <w:rFonts w:ascii="Source Sans Pro" w:cs="Source Sans Pro" w:eastAsia="Source Sans Pro" w:hAnsi="Source Sans Pro"/>
        <w:color w:val="262626"/>
        <w:sz w:val="27"/>
        <w:szCs w:val="27"/>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right"/>
      <w:pPr>
        <w:ind w:left="720" w:hanging="360"/>
      </w:pPr>
      <w:rPr>
        <w:rFonts w:ascii="Arial" w:cs="Arial" w:eastAsia="Arial" w:hAnsi="Arial"/>
        <w:b w:val="0"/>
        <w:i w:val="0"/>
        <w:smallCaps w:val="0"/>
        <w:strike w:val="0"/>
        <w:color w:val="595959"/>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595959"/>
        <w:sz w:val="28"/>
        <w:szCs w:val="28"/>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595959"/>
        <w:sz w:val="28"/>
        <w:szCs w:val="28"/>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595959"/>
        <w:sz w:val="28"/>
        <w:szCs w:val="28"/>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595959"/>
        <w:sz w:val="28"/>
        <w:szCs w:val="28"/>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595959"/>
        <w:sz w:val="28"/>
        <w:szCs w:val="28"/>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595959"/>
        <w:sz w:val="28"/>
        <w:szCs w:val="28"/>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595959"/>
        <w:sz w:val="28"/>
        <w:szCs w:val="28"/>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595959"/>
        <w:sz w:val="28"/>
        <w:szCs w:val="28"/>
        <w:u w:val="none"/>
        <w:shd w:fill="auto" w:val="clear"/>
        <w:vertAlign w:val="baseline"/>
      </w:rPr>
    </w:lvl>
  </w:abstractNum>
  <w:abstractNum w:abstractNumId="4">
    <w:lvl w:ilvl="0">
      <w:start w:val="1"/>
      <w:numFmt w:val="decimal"/>
      <w:lvlText w:val="%1."/>
      <w:lvlJc w:val="right"/>
      <w:pPr>
        <w:ind w:left="720" w:hanging="360"/>
      </w:pPr>
      <w:rPr>
        <w:rFonts w:ascii="Source Sans Pro" w:cs="Source Sans Pro" w:eastAsia="Source Sans Pro" w:hAnsi="Source Sans Pro"/>
        <w:b w:val="0"/>
        <w:i w:val="0"/>
        <w:smallCaps w:val="0"/>
        <w:strike w:val="0"/>
        <w:color w:val="262626"/>
        <w:sz w:val="22"/>
        <w:szCs w:val="22"/>
        <w:u w:val="none"/>
        <w:shd w:fill="auto" w:val="clear"/>
        <w:vertAlign w:val="baseline"/>
      </w:rPr>
    </w:lvl>
    <w:lvl w:ilvl="1">
      <w:start w:val="1"/>
      <w:numFmt w:val="lowerLetter"/>
      <w:lvlText w:val="%2."/>
      <w:lvlJc w:val="right"/>
      <w:pPr>
        <w:ind w:left="1440" w:hanging="360"/>
      </w:pPr>
      <w:rPr>
        <w:rFonts w:ascii="Arial" w:cs="Arial" w:eastAsia="Arial" w:hAnsi="Arial"/>
        <w:b w:val="0"/>
        <w:i w:val="0"/>
        <w:smallCaps w:val="0"/>
        <w:strike w:val="0"/>
        <w:color w:val="000000"/>
        <w:sz w:val="22"/>
        <w:szCs w:val="22"/>
        <w:u w:val="none"/>
        <w:shd w:fill="auto" w:val="clear"/>
        <w:vertAlign w:val="baseline"/>
      </w:rPr>
    </w:lvl>
    <w:lvl w:ilvl="2">
      <w:start w:val="1"/>
      <w:numFmt w:val="lowerRoman"/>
      <w:lvlText w:val="%3."/>
      <w:lvlJc w:val="right"/>
      <w:pPr>
        <w:ind w:left="2160" w:hanging="360"/>
      </w:pPr>
      <w:rPr>
        <w:rFonts w:ascii="Arial" w:cs="Arial" w:eastAsia="Arial" w:hAnsi="Arial"/>
        <w:b w:val="0"/>
        <w:i w:val="0"/>
        <w:smallCaps w:val="0"/>
        <w:strike w:val="0"/>
        <w:color w:val="000000"/>
        <w:sz w:val="22"/>
        <w:szCs w:val="22"/>
        <w:u w:val="none"/>
        <w:shd w:fill="auto" w:val="clear"/>
        <w:vertAlign w:val="baseline"/>
      </w:rPr>
    </w:lvl>
    <w:lvl w:ilvl="3">
      <w:start w:val="1"/>
      <w:numFmt w:val="decimal"/>
      <w:lvlText w:val="%4."/>
      <w:lvlJc w:val="right"/>
      <w:pPr>
        <w:ind w:left="2880" w:hanging="360"/>
      </w:pPr>
      <w:rPr>
        <w:rFonts w:ascii="Arial" w:cs="Arial" w:eastAsia="Arial" w:hAnsi="Arial"/>
        <w:b w:val="0"/>
        <w:i w:val="0"/>
        <w:smallCaps w:val="0"/>
        <w:strike w:val="0"/>
        <w:color w:val="000000"/>
        <w:sz w:val="22"/>
        <w:szCs w:val="22"/>
        <w:u w:val="none"/>
        <w:shd w:fill="auto" w:val="clear"/>
        <w:vertAlign w:val="baseline"/>
      </w:rPr>
    </w:lvl>
    <w:lvl w:ilvl="4">
      <w:start w:val="1"/>
      <w:numFmt w:val="lowerLetter"/>
      <w:lvlText w:val="%5."/>
      <w:lvlJc w:val="right"/>
      <w:pPr>
        <w:ind w:left="3600" w:hanging="360"/>
      </w:pPr>
      <w:rPr>
        <w:rFonts w:ascii="Arial" w:cs="Arial" w:eastAsia="Arial" w:hAnsi="Arial"/>
        <w:b w:val="0"/>
        <w:i w:val="0"/>
        <w:smallCaps w:val="0"/>
        <w:strike w:val="0"/>
        <w:color w:val="000000"/>
        <w:sz w:val="22"/>
        <w:szCs w:val="22"/>
        <w:u w:val="none"/>
        <w:shd w:fill="auto" w:val="clear"/>
        <w:vertAlign w:val="baseline"/>
      </w:rPr>
    </w:lvl>
    <w:lvl w:ilvl="5">
      <w:start w:val="1"/>
      <w:numFmt w:val="lowerRoman"/>
      <w:lvlText w:val="%6."/>
      <w:lvlJc w:val="right"/>
      <w:pPr>
        <w:ind w:left="4320" w:hanging="360"/>
      </w:pPr>
      <w:rPr>
        <w:rFonts w:ascii="Arial" w:cs="Arial" w:eastAsia="Arial" w:hAnsi="Arial"/>
        <w:b w:val="0"/>
        <w:i w:val="0"/>
        <w:smallCaps w:val="0"/>
        <w:strike w:val="0"/>
        <w:color w:val="000000"/>
        <w:sz w:val="22"/>
        <w:szCs w:val="22"/>
        <w:u w:val="none"/>
        <w:shd w:fill="auto" w:val="clear"/>
        <w:vertAlign w:val="baseline"/>
      </w:rPr>
    </w:lvl>
    <w:lvl w:ilvl="6">
      <w:start w:val="1"/>
      <w:numFmt w:val="decimal"/>
      <w:lvlText w:val="%7."/>
      <w:lvlJc w:val="right"/>
      <w:pPr>
        <w:ind w:left="5040" w:hanging="360"/>
      </w:pPr>
      <w:rPr>
        <w:rFonts w:ascii="Arial" w:cs="Arial" w:eastAsia="Arial" w:hAnsi="Arial"/>
        <w:b w:val="0"/>
        <w:i w:val="0"/>
        <w:smallCaps w:val="0"/>
        <w:strike w:val="0"/>
        <w:color w:val="000000"/>
        <w:sz w:val="22"/>
        <w:szCs w:val="22"/>
        <w:u w:val="none"/>
        <w:shd w:fill="auto" w:val="clear"/>
        <w:vertAlign w:val="baseline"/>
      </w:rPr>
    </w:lvl>
    <w:lvl w:ilvl="7">
      <w:start w:val="1"/>
      <w:numFmt w:val="lowerLetter"/>
      <w:lvlText w:val="%8."/>
      <w:lvlJc w:val="right"/>
      <w:pPr>
        <w:ind w:left="5760" w:hanging="360"/>
      </w:pPr>
      <w:rPr>
        <w:rFonts w:ascii="Arial" w:cs="Arial" w:eastAsia="Arial" w:hAnsi="Arial"/>
        <w:b w:val="0"/>
        <w:i w:val="0"/>
        <w:smallCaps w:val="0"/>
        <w:strike w:val="0"/>
        <w:color w:val="000000"/>
        <w:sz w:val="22"/>
        <w:szCs w:val="22"/>
        <w:u w:val="none"/>
        <w:shd w:fill="auto" w:val="clear"/>
        <w:vertAlign w:val="baseline"/>
      </w:rPr>
    </w:lvl>
    <w:lvl w:ilvl="8">
      <w:start w:val="1"/>
      <w:numFmt w:val="lowerRoman"/>
      <w:lvlText w:val="%9."/>
      <w:lvlJc w:val="right"/>
      <w:pPr>
        <w:ind w:left="6480" w:hanging="360"/>
      </w:pPr>
      <w:rPr>
        <w:rFonts w:ascii="Arial" w:cs="Arial" w:eastAsia="Arial" w:hAnsi="Arial"/>
        <w:b w:val="0"/>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331.2" w:lineRule="auto"/>
    </w:pPr>
    <w:rPr>
      <w:b w:val="1"/>
      <w:color w:val="00966c"/>
      <w:sz w:val="32"/>
      <w:szCs w:val="32"/>
    </w:rPr>
  </w:style>
  <w:style w:type="paragraph" w:styleId="Heading2">
    <w:name w:val="heading 2"/>
    <w:basedOn w:val="Normal"/>
    <w:next w:val="Normal"/>
    <w:pPr>
      <w:keepNext w:val="1"/>
      <w:keepLines w:val="1"/>
      <w:spacing w:after="120" w:before="360" w:lineRule="auto"/>
    </w:pPr>
    <w:rPr>
      <w:b w:val="1"/>
    </w:rPr>
  </w:style>
  <w:style w:type="paragraph" w:styleId="Heading3">
    <w:name w:val="heading 3"/>
    <w:basedOn w:val="Normal"/>
    <w:next w:val="Normal"/>
    <w:pPr>
      <w:keepNext w:val="1"/>
      <w:keepLines w:val="1"/>
    </w:pPr>
    <w:rPr>
      <w:b w:val="1"/>
      <w:i w:val="1"/>
      <w:color w:val="0097a9"/>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line="331.2" w:lineRule="auto"/>
      <w:jc w:val="center"/>
    </w:pPr>
    <w:rPr>
      <w:b w:val="1"/>
      <w:color w:val="0097a9"/>
      <w:sz w:val="46"/>
      <w:szCs w:val="46"/>
      <w:highlight w:val="white"/>
    </w:rPr>
  </w:style>
  <w:style w:type="paragraph" w:styleId="Subtitle">
    <w:name w:val="Subtitle"/>
    <w:basedOn w:val="Normal"/>
    <w:next w:val="Normal"/>
    <w:pPr>
      <w:keepNext w:val="1"/>
      <w:keepLines w:val="1"/>
      <w:spacing w:line="331.2" w:lineRule="auto"/>
      <w:jc w:val="center"/>
    </w:pPr>
    <w:rPr>
      <w:sz w:val="24"/>
      <w:szCs w:val="24"/>
      <w:highlight w:val="whit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